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FC49" w14:textId="634391E5" w:rsidR="00004AD0" w:rsidRPr="00004AD0" w:rsidRDefault="00004AD0" w:rsidP="00E02566">
      <w:pPr>
        <w:spacing w:after="0" w:line="240" w:lineRule="auto"/>
        <w:ind w:left="540"/>
        <w:jc w:val="center"/>
        <w:rPr>
          <w:rFonts w:asciiTheme="majorHAnsi" w:eastAsia="Times New Roman" w:hAnsiTheme="majorHAnsi" w:cstheme="majorHAnsi"/>
          <w:b/>
          <w:bCs/>
          <w:color w:val="0D0D0D"/>
          <w:kern w:val="0"/>
          <w:sz w:val="28"/>
          <w:szCs w:val="28"/>
          <w:lang w:eastAsia="en-GB"/>
          <w14:ligatures w14:val="none"/>
        </w:rPr>
      </w:pPr>
      <w:r w:rsidRPr="00004AD0">
        <w:rPr>
          <w:rFonts w:asciiTheme="majorHAnsi" w:eastAsia="Times New Roman" w:hAnsiTheme="majorHAnsi" w:cstheme="majorHAnsi"/>
          <w:b/>
          <w:bCs/>
          <w:color w:val="0D0D0D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Planning and Supporting Student Learning in a Seminar Setting at Higher Education </w:t>
      </w:r>
      <w:r w:rsidR="003B7522">
        <w:rPr>
          <w:rFonts w:asciiTheme="majorHAnsi" w:eastAsia="Times New Roman" w:hAnsiTheme="majorHAnsi" w:cstheme="majorHAnsi"/>
          <w:b/>
          <w:bCs/>
          <w:color w:val="0D0D0D"/>
          <w:kern w:val="0"/>
          <w:sz w:val="28"/>
          <w:szCs w:val="28"/>
          <w:shd w:val="clear" w:color="auto" w:fill="FFFFFF"/>
          <w:lang w:eastAsia="en-GB"/>
          <w14:ligatures w14:val="none"/>
        </w:rPr>
        <w:t>in</w:t>
      </w:r>
      <w:r w:rsidR="00AE603D">
        <w:rPr>
          <w:rFonts w:asciiTheme="majorHAnsi" w:eastAsia="Times New Roman" w:hAnsiTheme="majorHAnsi" w:cstheme="majorHAnsi"/>
          <w:b/>
          <w:bCs/>
          <w:color w:val="0D0D0D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 UAL</w:t>
      </w:r>
    </w:p>
    <w:p w14:paraId="4BB8349B" w14:textId="77777777" w:rsidR="00B657E9" w:rsidRPr="004C5212" w:rsidRDefault="00B657E9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</w:pPr>
    </w:p>
    <w:p w14:paraId="6E14C3C0" w14:textId="1F182B4B" w:rsidR="004C5212" w:rsidRDefault="004C5212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</w:pPr>
      <w:r w:rsidRPr="004C5212"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  <w:t>Background:</w:t>
      </w:r>
    </w:p>
    <w:p w14:paraId="7F6D95BA" w14:textId="77777777" w:rsidR="006629E7" w:rsidRPr="004C5212" w:rsidRDefault="006629E7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</w:pPr>
    </w:p>
    <w:p w14:paraId="34EC8637" w14:textId="40CEAD6D" w:rsidR="00004AD0" w:rsidRDefault="00004AD0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In the setting of Higher Education at UAL, seminars provide a platform for interactive and collaborative learning experiences</w:t>
      </w:r>
      <w:r w:rsidR="008F4EFE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and help build on the direct learning format of a formal Lecture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. However, a challenge arises in effectively planning for and supporting student learning within this context, particularly in </w:t>
      </w:r>
      <w:r w:rsidR="00341F7F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developing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active participation, signposting self-learning, and cultivating a sense of belonging among students (Tinto, 2017).</w:t>
      </w:r>
      <w:r w:rsidR="004C03DE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Seminars should be more student led and give a</w:t>
      </w:r>
      <w:r w:rsidR="00B2263E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n</w:t>
      </w:r>
      <w:r w:rsidR="004C03DE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open forum for them to learn and interact</w:t>
      </w:r>
      <w:r w:rsidR="00B2263E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compared to the lecture setting</w:t>
      </w:r>
      <w:r w:rsidR="004C03DE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. </w:t>
      </w:r>
    </w:p>
    <w:p w14:paraId="58027491" w14:textId="77777777" w:rsidR="004C5212" w:rsidRPr="00004AD0" w:rsidRDefault="004C5212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lang w:eastAsia="en-GB"/>
          <w14:ligatures w14:val="none"/>
        </w:rPr>
      </w:pPr>
    </w:p>
    <w:p w14:paraId="70E5AB24" w14:textId="77777777" w:rsidR="00004AD0" w:rsidRDefault="00004AD0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</w:pPr>
      <w:r w:rsidRPr="00004AD0"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  <w:t>Evaluation:</w:t>
      </w:r>
    </w:p>
    <w:p w14:paraId="27739156" w14:textId="77777777" w:rsidR="006629E7" w:rsidRPr="00004AD0" w:rsidRDefault="006629E7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lang w:eastAsia="en-GB"/>
          <w14:ligatures w14:val="none"/>
        </w:rPr>
      </w:pPr>
    </w:p>
    <w:p w14:paraId="35E38900" w14:textId="528A0019" w:rsidR="00004AD0" w:rsidRPr="00004AD0" w:rsidRDefault="00004AD0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Current strategies for addressing these challenges involve setting ground rules at the beginning of each seminar to establish expectations for student </w:t>
      </w:r>
      <w:r w:rsidR="00E02566"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behaviour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and participation. Additionally, incorporating interactive activities, group discussions, and peer-to-peer learning opportunities helps to promote student engagement and participation (Brookfield &amp; </w:t>
      </w:r>
      <w:proofErr w:type="spellStart"/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Preskill</w:t>
      </w:r>
      <w:proofErr w:type="spellEnd"/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, 2016). However, challenges persist in ensuring that all students feel included and valued within the seminar setting.</w:t>
      </w:r>
    </w:p>
    <w:p w14:paraId="0FB4E08F" w14:textId="77777777" w:rsidR="004C5212" w:rsidRDefault="004C5212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</w:pPr>
    </w:p>
    <w:p w14:paraId="750BA7D4" w14:textId="713EC267" w:rsidR="00004AD0" w:rsidRDefault="00004AD0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</w:pPr>
      <w:r w:rsidRPr="00004AD0"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  <w:t>Moving Forward:</w:t>
      </w:r>
    </w:p>
    <w:p w14:paraId="3D5EBA8A" w14:textId="77777777" w:rsidR="006629E7" w:rsidRPr="00004AD0" w:rsidRDefault="006629E7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lang w:eastAsia="en-GB"/>
          <w14:ligatures w14:val="none"/>
        </w:rPr>
      </w:pPr>
    </w:p>
    <w:p w14:paraId="5B326042" w14:textId="77777777" w:rsidR="00004AD0" w:rsidRPr="00004AD0" w:rsidRDefault="00004AD0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Drawing from various sources, including literature, observations of peers, and personal experience, several strategies can enhance the planning and support of student learning in seminar settings:</w:t>
      </w:r>
    </w:p>
    <w:p w14:paraId="36A3A1B6" w14:textId="576F42DA" w:rsidR="00004AD0" w:rsidRPr="00004AD0" w:rsidRDefault="00004AD0" w:rsidP="00004AD0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Clear Communication: Providing clear instructions and objectives for each seminar session, along with advance reading materials, helps students prepare and actively participate in discussions.</w:t>
      </w:r>
      <w:r w:rsidR="00214886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</w:t>
      </w:r>
      <w:r w:rsidR="009C1A2B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Also considering communication and signposting for continued learning after </w:t>
      </w:r>
      <w:r w:rsidR="004C0E51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the session in the form of clear self-study tasks. </w:t>
      </w:r>
    </w:p>
    <w:p w14:paraId="3E7FA5E0" w14:textId="28DB7D73" w:rsidR="00004AD0" w:rsidRPr="00004AD0" w:rsidRDefault="00004AD0" w:rsidP="00004AD0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Active Learning Techniques: Incorporating active learning techniques, such as problem-solving exercises, case studies, and role-playing activities, promotes student engagement and critical thinking skills (Chick, Haynie, &amp; Gurung, 2012).</w:t>
      </w:r>
      <w:r w:rsidR="001523E7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It can also help to bring to life academic theory and put </w:t>
      </w:r>
      <w:r w:rsidR="00724A2C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things in a real world setting that can help students identify </w:t>
      </w:r>
      <w:r w:rsidR="00204156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with. Even aspire to learn more in their own time. </w:t>
      </w:r>
    </w:p>
    <w:p w14:paraId="420B4549" w14:textId="1954DC1C" w:rsidR="00004AD0" w:rsidRPr="00004AD0" w:rsidRDefault="00004AD0" w:rsidP="00004AD0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Feedback Mechanisms: Implementing regular feedback mechanisms, such as anonymous surveys or peer evaluations, allows students to provide input on their learning experiences and offers opportunities for continuous improvement.</w:t>
      </w:r>
      <w:r w:rsidR="005F0B8C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This can link well with</w:t>
      </w:r>
      <w:r w:rsidR="001E7756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point 4 </w:t>
      </w:r>
      <w:r w:rsidR="00905174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and the</w:t>
      </w:r>
      <w:r w:rsidR="005F0B8C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use of tools </w:t>
      </w:r>
      <w:r w:rsidR="001E7756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such as</w:t>
      </w:r>
      <w:r w:rsidR="005F0B8C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Padlet</w:t>
      </w:r>
      <w:r w:rsidR="004A6B53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&amp; </w:t>
      </w:r>
      <w:proofErr w:type="spellStart"/>
      <w:r w:rsidR="001E7756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Slido</w:t>
      </w:r>
      <w:proofErr w:type="spellEnd"/>
      <w:r w:rsidR="004A6B53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to allow another method of anonymity </w:t>
      </w:r>
      <w:r w:rsidR="00404822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participation for students to feel comfortable interacting </w:t>
      </w:r>
      <w:r w:rsidR="003633CC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how they choose. </w:t>
      </w:r>
    </w:p>
    <w:p w14:paraId="456DE33A" w14:textId="7C447400" w:rsidR="00004AD0" w:rsidRPr="00004AD0" w:rsidRDefault="00004AD0" w:rsidP="00004AD0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Technology Integration: Utili</w:t>
      </w:r>
      <w:r w:rsidR="003F520F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s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ing online platforms and tools, such as discussion forums or collaborative documents</w:t>
      </w:r>
      <w:r w:rsidR="003633CC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like </w:t>
      </w:r>
      <w:r w:rsidR="003633CC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Padlet</w:t>
      </w:r>
      <w:r w:rsidR="003633CC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or </w:t>
      </w:r>
      <w:r w:rsidR="003633CC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Miro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, facilitates communication and knowledge sharing among students, both during and outside of seminar sessions.</w:t>
      </w:r>
      <w:r w:rsidR="001D38BB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I</w:t>
      </w:r>
      <w:r w:rsidR="008F76B4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t</w:t>
      </w:r>
      <w:r w:rsidR="001D38BB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can help continued learning and even join up seminar sessions over </w:t>
      </w:r>
      <w:r w:rsidR="00847D32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several</w:t>
      </w:r>
      <w:r w:rsidR="00681333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weeks in a seamless manor.</w:t>
      </w:r>
    </w:p>
    <w:p w14:paraId="52C931E6" w14:textId="77777777" w:rsidR="006629E7" w:rsidRDefault="006629E7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</w:pPr>
    </w:p>
    <w:p w14:paraId="23B2FC84" w14:textId="76270A75" w:rsidR="00004AD0" w:rsidRDefault="00004AD0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</w:pPr>
      <w:r w:rsidRPr="00004AD0"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  <w:t>Reflection:</w:t>
      </w:r>
    </w:p>
    <w:p w14:paraId="6C6A31C5" w14:textId="77777777" w:rsidR="00F41062" w:rsidRPr="00004AD0" w:rsidRDefault="00F41062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lang w:eastAsia="en-GB"/>
          <w14:ligatures w14:val="none"/>
        </w:rPr>
      </w:pPr>
    </w:p>
    <w:p w14:paraId="248E22A1" w14:textId="79F4D4F2" w:rsidR="00004AD0" w:rsidRPr="00004AD0" w:rsidRDefault="00004AD0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Through experimentation with </w:t>
      </w:r>
      <w:r w:rsidR="00681333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some of 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these strategies, successes and limitations have been observed. Active learning techniques and technology integration have proven effective in enhancing student engagement and participation. However, challenges remain in ensuring </w:t>
      </w:r>
      <w:r w:rsidR="00401A2A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fair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lastRenderedPageBreak/>
        <w:t xml:space="preserve">participation and </w:t>
      </w:r>
      <w:r w:rsidR="007F62ED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developing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a sense of belonging among all students, particularly those from diverse backgrounds.</w:t>
      </w:r>
      <w:r w:rsidR="007F62ED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For example, it cannot be assumed all students have access </w:t>
      </w:r>
      <w:r w:rsidR="003F520F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or knowledge of online platforms</w:t>
      </w:r>
      <w:r w:rsidR="00BB10AE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. Language barriers can divide a class or the speed in which </w:t>
      </w:r>
      <w:r w:rsidR="00476778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engagement and participation will happen. </w:t>
      </w:r>
    </w:p>
    <w:p w14:paraId="7BD349AF" w14:textId="2185BEBA" w:rsidR="00004AD0" w:rsidRPr="00004AD0" w:rsidRDefault="00004AD0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Moving forward, a continued focus on refining and adapting these practices based on student feedback and reflection will be essential. This reflection under</w:t>
      </w:r>
      <w:r w:rsidR="00374384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lines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the importance of</w:t>
      </w:r>
      <w:r w:rsidR="00FB2894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planning and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creating inclusive learning environments</w:t>
      </w:r>
      <w:r w:rsidR="00FB2894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in a seminar setting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 where all students feel valued and supported in their academic journey.</w:t>
      </w:r>
    </w:p>
    <w:p w14:paraId="5A44CB37" w14:textId="77777777" w:rsidR="00F41062" w:rsidRDefault="00F41062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</w:pPr>
    </w:p>
    <w:p w14:paraId="73BEBE8D" w14:textId="5664A7EF" w:rsidR="00004AD0" w:rsidRPr="00004AD0" w:rsidRDefault="00004AD0" w:rsidP="00004AD0">
      <w:pPr>
        <w:spacing w:after="0" w:line="240" w:lineRule="auto"/>
        <w:ind w:left="540"/>
        <w:rPr>
          <w:rFonts w:eastAsia="Times New Roman" w:cstheme="minorHAnsi"/>
          <w:b/>
          <w:bCs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b/>
          <w:bCs/>
          <w:color w:val="0D0D0D"/>
          <w:kern w:val="0"/>
          <w:shd w:val="clear" w:color="auto" w:fill="FFFFFF"/>
          <w:lang w:eastAsia="en-GB"/>
          <w14:ligatures w14:val="none"/>
        </w:rPr>
        <w:t>References:</w:t>
      </w:r>
    </w:p>
    <w:p w14:paraId="0465F495" w14:textId="77777777" w:rsidR="00FB6F92" w:rsidRDefault="00FB6F92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</w:pPr>
    </w:p>
    <w:p w14:paraId="77A10A5A" w14:textId="434D37E4" w:rsidR="00004AD0" w:rsidRPr="00004AD0" w:rsidRDefault="00004AD0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Brookfield, S. D., &amp; </w:t>
      </w:r>
      <w:proofErr w:type="spellStart"/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Preskill</w:t>
      </w:r>
      <w:proofErr w:type="spellEnd"/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, S. (2016). </w:t>
      </w:r>
      <w:r w:rsidRPr="00004AD0">
        <w:rPr>
          <w:rFonts w:eastAsia="Times New Roman" w:cstheme="minorHAnsi"/>
          <w:i/>
          <w:iCs/>
          <w:color w:val="0D0D0D"/>
          <w:kern w:val="0"/>
          <w:shd w:val="clear" w:color="auto" w:fill="FFFFFF"/>
          <w:lang w:eastAsia="en-GB"/>
          <w14:ligatures w14:val="none"/>
        </w:rPr>
        <w:t>The discussion book: 50 great ways to get people talking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. John Wiley &amp; Sons.</w:t>
      </w:r>
    </w:p>
    <w:p w14:paraId="33C4D2A2" w14:textId="77777777" w:rsidR="00FB6F92" w:rsidRDefault="00FB6F92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</w:pPr>
    </w:p>
    <w:p w14:paraId="78170485" w14:textId="0E92E0C0" w:rsidR="00004AD0" w:rsidRPr="00004AD0" w:rsidRDefault="00004AD0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Chick, N. L., Haynie, A., &amp; Gurung, R. A. (2012). </w:t>
      </w:r>
      <w:r w:rsidRPr="00004AD0">
        <w:rPr>
          <w:rFonts w:eastAsia="Times New Roman" w:cstheme="minorHAnsi"/>
          <w:i/>
          <w:iCs/>
          <w:color w:val="0D0D0D"/>
          <w:kern w:val="0"/>
          <w:shd w:val="clear" w:color="auto" w:fill="FFFFFF"/>
          <w:lang w:eastAsia="en-GB"/>
          <w14:ligatures w14:val="none"/>
        </w:rPr>
        <w:t>Exploring more signature pedagogies: Approaches to teaching disciplinary habits of mind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. Stylus Publishing, LLC.</w:t>
      </w:r>
    </w:p>
    <w:p w14:paraId="1BD48709" w14:textId="77777777" w:rsidR="00FB6F92" w:rsidRDefault="00FB6F92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</w:pPr>
    </w:p>
    <w:p w14:paraId="26155CD3" w14:textId="20D16320" w:rsidR="00004AD0" w:rsidRPr="00004AD0" w:rsidRDefault="00004AD0" w:rsidP="00004AD0">
      <w:pPr>
        <w:spacing w:after="0" w:line="240" w:lineRule="auto"/>
        <w:ind w:left="540"/>
        <w:rPr>
          <w:rFonts w:eastAsia="Times New Roman" w:cstheme="minorHAnsi"/>
          <w:color w:val="0D0D0D"/>
          <w:kern w:val="0"/>
          <w:lang w:eastAsia="en-GB"/>
          <w14:ligatures w14:val="none"/>
        </w:rPr>
      </w:pP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 xml:space="preserve">Tinto, V. (2017). </w:t>
      </w:r>
      <w:r w:rsidRPr="00004AD0">
        <w:rPr>
          <w:rFonts w:eastAsia="Times New Roman" w:cstheme="minorHAnsi"/>
          <w:i/>
          <w:iCs/>
          <w:color w:val="0D0D0D"/>
          <w:kern w:val="0"/>
          <w:shd w:val="clear" w:color="auto" w:fill="FFFFFF"/>
          <w:lang w:eastAsia="en-GB"/>
          <w14:ligatures w14:val="none"/>
        </w:rPr>
        <w:t>Leaving college: Rethinking the causes and cures of student attrition</w:t>
      </w:r>
      <w:r w:rsidRPr="00004AD0">
        <w:rPr>
          <w:rFonts w:eastAsia="Times New Roman" w:cstheme="minorHAnsi"/>
          <w:color w:val="0D0D0D"/>
          <w:kern w:val="0"/>
          <w:shd w:val="clear" w:color="auto" w:fill="FFFFFF"/>
          <w:lang w:eastAsia="en-GB"/>
          <w14:ligatures w14:val="none"/>
        </w:rPr>
        <w:t>. University of Chicago Press.</w:t>
      </w:r>
    </w:p>
    <w:p w14:paraId="06389961" w14:textId="77777777" w:rsidR="009A3496" w:rsidRPr="009A3496" w:rsidRDefault="009A3496">
      <w:pPr>
        <w:rPr>
          <w:rFonts w:ascii="Segoe UI" w:hAnsi="Segoe UI" w:cs="Segoe UI"/>
          <w:color w:val="0D0D0D"/>
          <w:shd w:val="clear" w:color="auto" w:fill="FFFFFF"/>
        </w:rPr>
      </w:pPr>
    </w:p>
    <w:sectPr w:rsidR="009A3496" w:rsidRPr="009A3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06851"/>
    <w:multiLevelType w:val="multilevel"/>
    <w:tmpl w:val="723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6955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4"/>
    <w:rsid w:val="00004AD0"/>
    <w:rsid w:val="001523E7"/>
    <w:rsid w:val="001D38BB"/>
    <w:rsid w:val="001E7756"/>
    <w:rsid w:val="00201604"/>
    <w:rsid w:val="00204156"/>
    <w:rsid w:val="00214886"/>
    <w:rsid w:val="00273D86"/>
    <w:rsid w:val="002F7C32"/>
    <w:rsid w:val="00315282"/>
    <w:rsid w:val="00341F7F"/>
    <w:rsid w:val="00355B69"/>
    <w:rsid w:val="003633CC"/>
    <w:rsid w:val="00374384"/>
    <w:rsid w:val="003B5360"/>
    <w:rsid w:val="003B7522"/>
    <w:rsid w:val="003F520F"/>
    <w:rsid w:val="00401A2A"/>
    <w:rsid w:val="00404822"/>
    <w:rsid w:val="00476778"/>
    <w:rsid w:val="004A6B53"/>
    <w:rsid w:val="004C03DE"/>
    <w:rsid w:val="004C0E51"/>
    <w:rsid w:val="004C5212"/>
    <w:rsid w:val="00567844"/>
    <w:rsid w:val="005F0B8C"/>
    <w:rsid w:val="006629E7"/>
    <w:rsid w:val="00681333"/>
    <w:rsid w:val="00724A2C"/>
    <w:rsid w:val="007F62ED"/>
    <w:rsid w:val="00837688"/>
    <w:rsid w:val="00847D32"/>
    <w:rsid w:val="008F4EFE"/>
    <w:rsid w:val="008F76B4"/>
    <w:rsid w:val="00905174"/>
    <w:rsid w:val="009A3496"/>
    <w:rsid w:val="009C1A2B"/>
    <w:rsid w:val="00AA6E16"/>
    <w:rsid w:val="00AE603D"/>
    <w:rsid w:val="00B1606F"/>
    <w:rsid w:val="00B2263E"/>
    <w:rsid w:val="00B657E9"/>
    <w:rsid w:val="00B936A7"/>
    <w:rsid w:val="00BB10AE"/>
    <w:rsid w:val="00C648F4"/>
    <w:rsid w:val="00CC037B"/>
    <w:rsid w:val="00E02566"/>
    <w:rsid w:val="00F41062"/>
    <w:rsid w:val="00FB2894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34A9"/>
  <w15:chartTrackingRefBased/>
  <w15:docId w15:val="{EDDEB1F9-45C6-4E27-AACF-AED0364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0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027555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33842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4085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52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64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6121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1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Venning</dc:creator>
  <cp:keywords/>
  <dc:description/>
  <cp:lastModifiedBy>James Venning</cp:lastModifiedBy>
  <cp:revision>50</cp:revision>
  <dcterms:created xsi:type="dcterms:W3CDTF">2024-02-28T12:31:00Z</dcterms:created>
  <dcterms:modified xsi:type="dcterms:W3CDTF">2024-03-06T11:43:00Z</dcterms:modified>
</cp:coreProperties>
</file>